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F513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MTL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2AC3">
        <w:rPr>
          <w:rFonts w:ascii="Arial" w:hAnsi="Arial" w:cs="Arial"/>
          <w:b/>
          <w:sz w:val="20"/>
          <w:szCs w:val="20"/>
        </w:rPr>
        <w:t>Annual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F5131">
        <w:rPr>
          <w:rFonts w:ascii="Arial" w:hAnsi="Arial" w:cs="Arial"/>
          <w:sz w:val="20"/>
          <w:szCs w:val="20"/>
        </w:rPr>
        <w:t>25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96A16" w:rsidRPr="00196A16">
        <w:rPr>
          <w:rFonts w:ascii="Arial" w:hAnsi="Arial" w:cs="Arial"/>
          <w:sz w:val="20"/>
          <w:szCs w:val="20"/>
        </w:rPr>
        <w:t>Tu</w:t>
      </w:r>
      <w:proofErr w:type="spellEnd"/>
      <w:r w:rsidR="00196A16" w:rsidRPr="00196A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A16" w:rsidRPr="00196A16">
        <w:rPr>
          <w:rFonts w:ascii="Arial" w:hAnsi="Arial" w:cs="Arial"/>
          <w:sz w:val="20"/>
          <w:szCs w:val="20"/>
        </w:rPr>
        <w:t>Liem</w:t>
      </w:r>
      <w:proofErr w:type="spellEnd"/>
      <w:r w:rsidR="00196A16" w:rsidRPr="00196A16">
        <w:rPr>
          <w:rFonts w:ascii="Arial" w:hAnsi="Arial" w:cs="Arial"/>
          <w:sz w:val="20"/>
          <w:szCs w:val="20"/>
        </w:rPr>
        <w:t xml:space="preserve"> Urban Environment Service Joint Stock Company</w:t>
      </w:r>
      <w:r w:rsidR="00196A1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662AC3">
        <w:rPr>
          <w:rFonts w:ascii="Arial" w:hAnsi="Arial" w:cs="Arial"/>
          <w:sz w:val="20"/>
          <w:szCs w:val="20"/>
        </w:rPr>
        <w:t xml:space="preserve">annual 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96A16" w:rsidRDefault="00196A1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report of the Management Board on operation results of 2019 and operation plan for 2020</w:t>
      </w:r>
    </w:p>
    <w:p w:rsidR="00196A16" w:rsidRDefault="00196A1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Operation results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96A16" w:rsidTr="00196A16">
        <w:tc>
          <w:tcPr>
            <w:tcW w:w="1915" w:type="dxa"/>
          </w:tcPr>
          <w:p w:rsidR="00196A16" w:rsidRDefault="00196A1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indicator</w:t>
            </w:r>
          </w:p>
        </w:tc>
        <w:tc>
          <w:tcPr>
            <w:tcW w:w="1915" w:type="dxa"/>
          </w:tcPr>
          <w:p w:rsidR="00196A16" w:rsidRDefault="00196A1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5" w:type="dxa"/>
          </w:tcPr>
          <w:p w:rsidR="00196A16" w:rsidRDefault="00196A1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15" w:type="dxa"/>
          </w:tcPr>
          <w:p w:rsidR="00196A16" w:rsidRDefault="00196A1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6" w:type="dxa"/>
          </w:tcPr>
          <w:p w:rsidR="00196A16" w:rsidRDefault="006C033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Realization/ plan rate</w:t>
            </w:r>
          </w:p>
        </w:tc>
      </w:tr>
      <w:tr w:rsidR="00196A16" w:rsidTr="00196A16">
        <w:tc>
          <w:tcPr>
            <w:tcW w:w="1915" w:type="dxa"/>
          </w:tcPr>
          <w:p w:rsidR="00196A16" w:rsidRDefault="006C033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Contributed capital of the owner's equity </w:t>
            </w:r>
          </w:p>
        </w:tc>
        <w:tc>
          <w:tcPr>
            <w:tcW w:w="1915" w:type="dxa"/>
          </w:tcPr>
          <w:p w:rsidR="00196A16" w:rsidRDefault="006C033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196A16" w:rsidRDefault="006C033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915" w:type="dxa"/>
          </w:tcPr>
          <w:p w:rsidR="00196A16" w:rsidRDefault="006C033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916" w:type="dxa"/>
          </w:tcPr>
          <w:p w:rsidR="00196A16" w:rsidRDefault="00196A1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38" w:rsidTr="00196A16">
        <w:tc>
          <w:tcPr>
            <w:tcW w:w="1915" w:type="dxa"/>
          </w:tcPr>
          <w:p w:rsidR="006C0338" w:rsidRDefault="006C0338" w:rsidP="006C03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6C0338" w:rsidRDefault="006C0338" w:rsidP="006C0338">
            <w:r w:rsidRPr="00B16F6C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6C0338" w:rsidRDefault="006C0338" w:rsidP="006C03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915" w:type="dxa"/>
          </w:tcPr>
          <w:p w:rsidR="006C0338" w:rsidRDefault="006C0338" w:rsidP="006C03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10,228</w:t>
            </w:r>
          </w:p>
        </w:tc>
        <w:tc>
          <w:tcPr>
            <w:tcW w:w="1916" w:type="dxa"/>
          </w:tcPr>
          <w:p w:rsidR="006C0338" w:rsidRDefault="006C0338" w:rsidP="006C03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102%</w:t>
            </w:r>
          </w:p>
        </w:tc>
      </w:tr>
      <w:tr w:rsidR="006C0338" w:rsidTr="00196A16">
        <w:tc>
          <w:tcPr>
            <w:tcW w:w="1915" w:type="dxa"/>
          </w:tcPr>
          <w:p w:rsidR="006C0338" w:rsidRDefault="006C0338" w:rsidP="006C03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915" w:type="dxa"/>
          </w:tcPr>
          <w:p w:rsidR="006C0338" w:rsidRDefault="006C0338" w:rsidP="006C0338">
            <w:r w:rsidRPr="00B16F6C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6C0338" w:rsidRDefault="006C0338" w:rsidP="006C03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915" w:type="dxa"/>
          </w:tcPr>
          <w:p w:rsidR="006C0338" w:rsidRDefault="006C0338" w:rsidP="006C03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16" w:type="dxa"/>
          </w:tcPr>
          <w:p w:rsidR="006C0338" w:rsidRDefault="006C0338" w:rsidP="006C03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96A16" w:rsidTr="00196A16">
        <w:tc>
          <w:tcPr>
            <w:tcW w:w="1915" w:type="dxa"/>
          </w:tcPr>
          <w:p w:rsidR="00196A16" w:rsidRDefault="006C033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(%/ par value) </w:t>
            </w:r>
          </w:p>
        </w:tc>
        <w:tc>
          <w:tcPr>
            <w:tcW w:w="1915" w:type="dxa"/>
          </w:tcPr>
          <w:p w:rsidR="00196A16" w:rsidRDefault="006C033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5" w:type="dxa"/>
          </w:tcPr>
          <w:p w:rsidR="00196A16" w:rsidRDefault="006C033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196A16" w:rsidRDefault="006C033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6" w:type="dxa"/>
          </w:tcPr>
          <w:p w:rsidR="00196A16" w:rsidRDefault="00196A1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A16" w:rsidRDefault="00196A1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0338" w:rsidRDefault="006C03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Operation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730E" w:rsidTr="00972D81"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indicator</w:t>
            </w:r>
          </w:p>
        </w:tc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2020</w:t>
            </w:r>
          </w:p>
        </w:tc>
        <w:tc>
          <w:tcPr>
            <w:tcW w:w="1916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growth compared to 2019</w:t>
            </w:r>
          </w:p>
        </w:tc>
      </w:tr>
      <w:tr w:rsidR="0061730E" w:rsidTr="00972D81"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Contributed capital of the owner's equity </w:t>
            </w:r>
          </w:p>
        </w:tc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916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0E" w:rsidTr="00972D81"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61730E" w:rsidRDefault="0061730E" w:rsidP="0061730E">
            <w:r w:rsidRPr="00B16F6C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10,228</w:t>
            </w:r>
          </w:p>
        </w:tc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  <w:tc>
          <w:tcPr>
            <w:tcW w:w="1916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0E" w:rsidTr="00972D81"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915" w:type="dxa"/>
          </w:tcPr>
          <w:p w:rsidR="0061730E" w:rsidRDefault="0061730E" w:rsidP="0061730E">
            <w:r w:rsidRPr="00B16F6C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15" w:type="dxa"/>
          </w:tcPr>
          <w:p w:rsidR="0061730E" w:rsidRDefault="00C67647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916" w:type="dxa"/>
          </w:tcPr>
          <w:p w:rsidR="0061730E" w:rsidRDefault="00C67647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1.07%</w:t>
            </w:r>
          </w:p>
        </w:tc>
      </w:tr>
      <w:tr w:rsidR="0061730E" w:rsidTr="00972D81"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(%/ par value) </w:t>
            </w:r>
          </w:p>
        </w:tc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5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61730E" w:rsidRDefault="00C67647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6" w:type="dxa"/>
          </w:tcPr>
          <w:p w:rsidR="0061730E" w:rsidRDefault="0061730E" w:rsidP="006173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338" w:rsidRDefault="006C03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7647" w:rsidRDefault="00C6764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2019 reports of the Board of Directors, Supervisory Board and operation plan for 2020</w:t>
      </w:r>
    </w:p>
    <w:p w:rsidR="00C67647" w:rsidRDefault="00C6764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audited financial statement of 2019</w:t>
      </w:r>
    </w:p>
    <w:p w:rsidR="00C67647" w:rsidRDefault="00C6764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the selection of an auditing company for financial statement of 2019</w:t>
      </w:r>
    </w:p>
    <w:p w:rsidR="00C67647" w:rsidRDefault="00C6764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5: Approve the plan on profit distribution, dividend payment for 2019: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C67647" w:rsidTr="00C67647">
        <w:tc>
          <w:tcPr>
            <w:tcW w:w="558" w:type="dxa"/>
          </w:tcPr>
          <w:p w:rsidR="00C67647" w:rsidRDefault="00C6764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C67647" w:rsidRDefault="00C6764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C67647" w:rsidRDefault="00C6764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Unit/ Rate</w:t>
            </w:r>
          </w:p>
        </w:tc>
        <w:tc>
          <w:tcPr>
            <w:tcW w:w="2394" w:type="dxa"/>
          </w:tcPr>
          <w:p w:rsidR="00C67647" w:rsidRDefault="00C6764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C67647" w:rsidTr="00C67647">
        <w:tc>
          <w:tcPr>
            <w:tcW w:w="558" w:type="dxa"/>
          </w:tcPr>
          <w:p w:rsidR="00C67647" w:rsidRDefault="00C6764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30" w:type="dxa"/>
          </w:tcPr>
          <w:p w:rsidR="00C67647" w:rsidRDefault="00C6764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of 2019</w:t>
            </w:r>
          </w:p>
        </w:tc>
        <w:tc>
          <w:tcPr>
            <w:tcW w:w="2394" w:type="dxa"/>
          </w:tcPr>
          <w:p w:rsidR="00C67647" w:rsidRDefault="00C6764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C67647" w:rsidRDefault="00C6764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647" w:rsidTr="00C67647">
        <w:tc>
          <w:tcPr>
            <w:tcW w:w="558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67647" w:rsidTr="00C67647">
        <w:tc>
          <w:tcPr>
            <w:tcW w:w="558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2394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7647" w:rsidTr="00C67647">
        <w:tc>
          <w:tcPr>
            <w:tcW w:w="558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4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C67647" w:rsidRDefault="00C67647" w:rsidP="00C67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67647" w:rsidTr="00C67647">
        <w:tc>
          <w:tcPr>
            <w:tcW w:w="558" w:type="dxa"/>
          </w:tcPr>
          <w:p w:rsidR="00C67647" w:rsidRDefault="00C6764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230" w:type="dxa"/>
          </w:tcPr>
          <w:p w:rsidR="00C67647" w:rsidRDefault="00C25B3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distribution and dividend payment </w:t>
            </w:r>
          </w:p>
        </w:tc>
        <w:tc>
          <w:tcPr>
            <w:tcW w:w="2394" w:type="dxa"/>
          </w:tcPr>
          <w:p w:rsidR="00C67647" w:rsidRDefault="00C6764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C67647" w:rsidRDefault="00C6764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3C" w:rsidTr="00C67647">
        <w:tc>
          <w:tcPr>
            <w:tcW w:w="558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Extraction to the Welfare Reward Fund </w:t>
            </w:r>
          </w:p>
        </w:tc>
        <w:tc>
          <w:tcPr>
            <w:tcW w:w="2394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3C" w:rsidTr="00C67647">
        <w:tc>
          <w:tcPr>
            <w:tcW w:w="558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Extraction to the Investment Development Fund </w:t>
            </w:r>
          </w:p>
        </w:tc>
        <w:tc>
          <w:tcPr>
            <w:tcW w:w="2394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3C" w:rsidTr="00C67647">
        <w:tc>
          <w:tcPr>
            <w:tcW w:w="558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to shareholders</w:t>
            </w:r>
          </w:p>
        </w:tc>
        <w:tc>
          <w:tcPr>
            <w:tcW w:w="2394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5B3C" w:rsidTr="00C67647">
        <w:tc>
          <w:tcPr>
            <w:tcW w:w="558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Retained profit after tax </w:t>
            </w:r>
          </w:p>
        </w:tc>
        <w:tc>
          <w:tcPr>
            <w:tcW w:w="2394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C25B3C" w:rsidRDefault="00C25B3C" w:rsidP="00C2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C67647" w:rsidRDefault="00C6764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5B3C" w:rsidRDefault="00E83C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6: Approve the Statement on 2020 plan for remuneration of the Board of Directors and Supervisory Board </w:t>
      </w:r>
    </w:p>
    <w:p w:rsidR="00E83C2B" w:rsidRDefault="00E83C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7: Approve the appointment of members of the Board of Directors and Chair of the Board of Directors </w:t>
      </w:r>
    </w:p>
    <w:p w:rsidR="00A97544" w:rsidRDefault="00A975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Result: the following candidates elected to the Board of Directors:</w:t>
      </w:r>
    </w:p>
    <w:p w:rsidR="00A97544" w:rsidRDefault="00A975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Nguyen Xuan Doc – member of the Board of Directors </w:t>
      </w:r>
    </w:p>
    <w:p w:rsidR="00A97544" w:rsidRDefault="00A975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Nguyen Tuan Anh – member of the Board of Directors </w:t>
      </w:r>
    </w:p>
    <w:p w:rsidR="00A97544" w:rsidRDefault="00A975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Nguyen Le Anh – member of the Board of Directors </w:t>
      </w:r>
    </w:p>
    <w:p w:rsidR="00A97544" w:rsidRDefault="00A975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</w:t>
      </w:r>
      <w:r w:rsidR="001A3753">
        <w:rPr>
          <w:rFonts w:ascii="Arial" w:hAnsi="Arial" w:cs="Arial"/>
          <w:sz w:val="20"/>
          <w:szCs w:val="20"/>
        </w:rPr>
        <w:t xml:space="preserve">of the new term held the first meeting to appoint Chair of the Board of Directors </w:t>
      </w:r>
    </w:p>
    <w:p w:rsidR="001A3753" w:rsidRDefault="001A37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Result: Mr. Nguyen Xuan Doc was nominated as Chair of the Board of Directors </w:t>
      </w:r>
    </w:p>
    <w:p w:rsidR="001A3753" w:rsidRDefault="001A37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annual General Mandate was approved by the annual General Meeting of Shareholders and takes effect from the signing date. The Board of Directors </w:t>
      </w:r>
      <w:r w:rsidR="002574D9">
        <w:rPr>
          <w:rFonts w:ascii="Arial" w:hAnsi="Arial" w:cs="Arial"/>
          <w:sz w:val="20"/>
          <w:szCs w:val="20"/>
        </w:rPr>
        <w:t>is responsible for directing the effective implementatio</w:t>
      </w:r>
      <w:r w:rsidR="004B218C">
        <w:rPr>
          <w:rFonts w:ascii="Arial" w:hAnsi="Arial" w:cs="Arial"/>
          <w:sz w:val="20"/>
          <w:szCs w:val="20"/>
        </w:rPr>
        <w:t>n of the annual General Mandate.</w:t>
      </w:r>
    </w:p>
    <w:p w:rsidR="00E83C2B" w:rsidRDefault="00E83C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8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14E8"/>
    <w:multiLevelType w:val="hybridMultilevel"/>
    <w:tmpl w:val="5AB442E0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E0000"/>
    <w:multiLevelType w:val="hybridMultilevel"/>
    <w:tmpl w:val="5498AD56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8D9"/>
    <w:rsid w:val="00007B2E"/>
    <w:rsid w:val="00022849"/>
    <w:rsid w:val="000266C2"/>
    <w:rsid w:val="000365C1"/>
    <w:rsid w:val="00050E3D"/>
    <w:rsid w:val="000603A9"/>
    <w:rsid w:val="00066EE1"/>
    <w:rsid w:val="00075754"/>
    <w:rsid w:val="0008089E"/>
    <w:rsid w:val="00085D47"/>
    <w:rsid w:val="000A0B74"/>
    <w:rsid w:val="000A58A2"/>
    <w:rsid w:val="000A6020"/>
    <w:rsid w:val="000B6969"/>
    <w:rsid w:val="000C4127"/>
    <w:rsid w:val="000D0CFB"/>
    <w:rsid w:val="000D20D4"/>
    <w:rsid w:val="000D25FC"/>
    <w:rsid w:val="000E447E"/>
    <w:rsid w:val="000E4CD5"/>
    <w:rsid w:val="000E518E"/>
    <w:rsid w:val="000E71F4"/>
    <w:rsid w:val="000F76F2"/>
    <w:rsid w:val="001110AA"/>
    <w:rsid w:val="001139DC"/>
    <w:rsid w:val="00114F74"/>
    <w:rsid w:val="001176E3"/>
    <w:rsid w:val="00124513"/>
    <w:rsid w:val="00132EC5"/>
    <w:rsid w:val="00132FA0"/>
    <w:rsid w:val="00135A2F"/>
    <w:rsid w:val="00136CAF"/>
    <w:rsid w:val="001409B7"/>
    <w:rsid w:val="00146DCF"/>
    <w:rsid w:val="00151208"/>
    <w:rsid w:val="00155048"/>
    <w:rsid w:val="001579A8"/>
    <w:rsid w:val="00161658"/>
    <w:rsid w:val="0016411D"/>
    <w:rsid w:val="00167E2F"/>
    <w:rsid w:val="00172FBD"/>
    <w:rsid w:val="00185E8C"/>
    <w:rsid w:val="00191F14"/>
    <w:rsid w:val="001937B4"/>
    <w:rsid w:val="00194B6D"/>
    <w:rsid w:val="00196A16"/>
    <w:rsid w:val="001A3753"/>
    <w:rsid w:val="001C7CD2"/>
    <w:rsid w:val="001D5E4A"/>
    <w:rsid w:val="001E4047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574D9"/>
    <w:rsid w:val="0026535B"/>
    <w:rsid w:val="002701FB"/>
    <w:rsid w:val="0028284F"/>
    <w:rsid w:val="00282C57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957"/>
    <w:rsid w:val="002E7FD0"/>
    <w:rsid w:val="002F68A9"/>
    <w:rsid w:val="00300193"/>
    <w:rsid w:val="00304722"/>
    <w:rsid w:val="0030503E"/>
    <w:rsid w:val="0031274D"/>
    <w:rsid w:val="00320096"/>
    <w:rsid w:val="0032185B"/>
    <w:rsid w:val="00327CF7"/>
    <w:rsid w:val="00336481"/>
    <w:rsid w:val="0033774A"/>
    <w:rsid w:val="00341DE3"/>
    <w:rsid w:val="00342A89"/>
    <w:rsid w:val="00353428"/>
    <w:rsid w:val="00373A9D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1BA"/>
    <w:rsid w:val="003C4606"/>
    <w:rsid w:val="003D18D5"/>
    <w:rsid w:val="003E60D6"/>
    <w:rsid w:val="003E73CA"/>
    <w:rsid w:val="00403A9C"/>
    <w:rsid w:val="004115D9"/>
    <w:rsid w:val="00411E47"/>
    <w:rsid w:val="00414974"/>
    <w:rsid w:val="00416824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90B2B"/>
    <w:rsid w:val="00493E4B"/>
    <w:rsid w:val="00496733"/>
    <w:rsid w:val="004A554D"/>
    <w:rsid w:val="004B218C"/>
    <w:rsid w:val="004B2BA6"/>
    <w:rsid w:val="004B4798"/>
    <w:rsid w:val="004C144F"/>
    <w:rsid w:val="004D292A"/>
    <w:rsid w:val="004E3058"/>
    <w:rsid w:val="004E4C16"/>
    <w:rsid w:val="00503DD6"/>
    <w:rsid w:val="00505065"/>
    <w:rsid w:val="0051776C"/>
    <w:rsid w:val="0052379D"/>
    <w:rsid w:val="005249A5"/>
    <w:rsid w:val="0055067A"/>
    <w:rsid w:val="00551A83"/>
    <w:rsid w:val="005610CB"/>
    <w:rsid w:val="005707AB"/>
    <w:rsid w:val="00573254"/>
    <w:rsid w:val="00576A91"/>
    <w:rsid w:val="00584222"/>
    <w:rsid w:val="0058434E"/>
    <w:rsid w:val="00585B82"/>
    <w:rsid w:val="005906FC"/>
    <w:rsid w:val="00591EB8"/>
    <w:rsid w:val="005970B6"/>
    <w:rsid w:val="005B1FDE"/>
    <w:rsid w:val="005B40E5"/>
    <w:rsid w:val="005C57E0"/>
    <w:rsid w:val="005D7F9C"/>
    <w:rsid w:val="005E411A"/>
    <w:rsid w:val="005E7B32"/>
    <w:rsid w:val="005F7ED5"/>
    <w:rsid w:val="006000D8"/>
    <w:rsid w:val="0061730E"/>
    <w:rsid w:val="006252F1"/>
    <w:rsid w:val="0063035E"/>
    <w:rsid w:val="0063581B"/>
    <w:rsid w:val="00635C2D"/>
    <w:rsid w:val="006374A1"/>
    <w:rsid w:val="00653D82"/>
    <w:rsid w:val="00662AC3"/>
    <w:rsid w:val="00662E88"/>
    <w:rsid w:val="00664834"/>
    <w:rsid w:val="00665025"/>
    <w:rsid w:val="0067150D"/>
    <w:rsid w:val="006938BF"/>
    <w:rsid w:val="006948E2"/>
    <w:rsid w:val="00694B5D"/>
    <w:rsid w:val="00695ACD"/>
    <w:rsid w:val="006A7679"/>
    <w:rsid w:val="006B04E8"/>
    <w:rsid w:val="006B10DB"/>
    <w:rsid w:val="006B36E8"/>
    <w:rsid w:val="006C0338"/>
    <w:rsid w:val="006D01D8"/>
    <w:rsid w:val="006D683C"/>
    <w:rsid w:val="006E15A6"/>
    <w:rsid w:val="006E23FD"/>
    <w:rsid w:val="006E5E99"/>
    <w:rsid w:val="006F4BFA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07C8"/>
    <w:rsid w:val="0077456B"/>
    <w:rsid w:val="00781EB4"/>
    <w:rsid w:val="00795480"/>
    <w:rsid w:val="007A072F"/>
    <w:rsid w:val="007A1FCC"/>
    <w:rsid w:val="007B07E7"/>
    <w:rsid w:val="007B3E94"/>
    <w:rsid w:val="007B4B88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1671F"/>
    <w:rsid w:val="008230D5"/>
    <w:rsid w:val="00837771"/>
    <w:rsid w:val="0084142F"/>
    <w:rsid w:val="0084485C"/>
    <w:rsid w:val="008452A4"/>
    <w:rsid w:val="0084679A"/>
    <w:rsid w:val="00846A9E"/>
    <w:rsid w:val="008522D5"/>
    <w:rsid w:val="00853748"/>
    <w:rsid w:val="008544C2"/>
    <w:rsid w:val="008647D9"/>
    <w:rsid w:val="00876B7D"/>
    <w:rsid w:val="00882307"/>
    <w:rsid w:val="00884B9C"/>
    <w:rsid w:val="00887454"/>
    <w:rsid w:val="00894C57"/>
    <w:rsid w:val="008C0872"/>
    <w:rsid w:val="008C7A42"/>
    <w:rsid w:val="008F253B"/>
    <w:rsid w:val="00903416"/>
    <w:rsid w:val="00912FBD"/>
    <w:rsid w:val="00915807"/>
    <w:rsid w:val="009232CB"/>
    <w:rsid w:val="00923467"/>
    <w:rsid w:val="00934FC0"/>
    <w:rsid w:val="00937B8C"/>
    <w:rsid w:val="00937D79"/>
    <w:rsid w:val="009410B8"/>
    <w:rsid w:val="009464B8"/>
    <w:rsid w:val="00952EDC"/>
    <w:rsid w:val="00960F3A"/>
    <w:rsid w:val="00961750"/>
    <w:rsid w:val="00962777"/>
    <w:rsid w:val="00964DEC"/>
    <w:rsid w:val="00980267"/>
    <w:rsid w:val="00981275"/>
    <w:rsid w:val="00981536"/>
    <w:rsid w:val="0099040A"/>
    <w:rsid w:val="009A6F47"/>
    <w:rsid w:val="009B2BF6"/>
    <w:rsid w:val="009C28F2"/>
    <w:rsid w:val="009E1744"/>
    <w:rsid w:val="009E4AC5"/>
    <w:rsid w:val="009F2709"/>
    <w:rsid w:val="00A02A11"/>
    <w:rsid w:val="00A050AA"/>
    <w:rsid w:val="00A06443"/>
    <w:rsid w:val="00A06521"/>
    <w:rsid w:val="00A128FC"/>
    <w:rsid w:val="00A23E8D"/>
    <w:rsid w:val="00A24462"/>
    <w:rsid w:val="00A33E9B"/>
    <w:rsid w:val="00A34999"/>
    <w:rsid w:val="00A4710B"/>
    <w:rsid w:val="00A47614"/>
    <w:rsid w:val="00A521A3"/>
    <w:rsid w:val="00A6117D"/>
    <w:rsid w:val="00A61FAF"/>
    <w:rsid w:val="00A63B6C"/>
    <w:rsid w:val="00A87ED0"/>
    <w:rsid w:val="00A92963"/>
    <w:rsid w:val="00A96404"/>
    <w:rsid w:val="00A97544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255E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A406D"/>
    <w:rsid w:val="00BB149F"/>
    <w:rsid w:val="00BB2980"/>
    <w:rsid w:val="00BD3CCA"/>
    <w:rsid w:val="00BD6969"/>
    <w:rsid w:val="00BE17E4"/>
    <w:rsid w:val="00BE3E97"/>
    <w:rsid w:val="00BF0485"/>
    <w:rsid w:val="00C220E2"/>
    <w:rsid w:val="00C2280B"/>
    <w:rsid w:val="00C25B3C"/>
    <w:rsid w:val="00C26F1A"/>
    <w:rsid w:val="00C32F3A"/>
    <w:rsid w:val="00C33F82"/>
    <w:rsid w:val="00C36031"/>
    <w:rsid w:val="00C40291"/>
    <w:rsid w:val="00C57CB9"/>
    <w:rsid w:val="00C61EAF"/>
    <w:rsid w:val="00C64328"/>
    <w:rsid w:val="00C67647"/>
    <w:rsid w:val="00C740FE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47CF5"/>
    <w:rsid w:val="00D52C26"/>
    <w:rsid w:val="00D55D74"/>
    <w:rsid w:val="00D570D1"/>
    <w:rsid w:val="00D61518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291E"/>
    <w:rsid w:val="00DA3531"/>
    <w:rsid w:val="00DA54D0"/>
    <w:rsid w:val="00DB2C71"/>
    <w:rsid w:val="00DB5EDC"/>
    <w:rsid w:val="00DC3408"/>
    <w:rsid w:val="00DD1205"/>
    <w:rsid w:val="00DD263A"/>
    <w:rsid w:val="00DE169F"/>
    <w:rsid w:val="00DE5C3C"/>
    <w:rsid w:val="00DF3B6A"/>
    <w:rsid w:val="00DF4180"/>
    <w:rsid w:val="00DF739B"/>
    <w:rsid w:val="00E0619F"/>
    <w:rsid w:val="00E130EE"/>
    <w:rsid w:val="00E13C77"/>
    <w:rsid w:val="00E17016"/>
    <w:rsid w:val="00E20A0F"/>
    <w:rsid w:val="00E24F0A"/>
    <w:rsid w:val="00E27923"/>
    <w:rsid w:val="00E47928"/>
    <w:rsid w:val="00E47B26"/>
    <w:rsid w:val="00E51F4E"/>
    <w:rsid w:val="00E53A5C"/>
    <w:rsid w:val="00E5565D"/>
    <w:rsid w:val="00E60303"/>
    <w:rsid w:val="00E65132"/>
    <w:rsid w:val="00E7691C"/>
    <w:rsid w:val="00E83C2B"/>
    <w:rsid w:val="00E96289"/>
    <w:rsid w:val="00E96D65"/>
    <w:rsid w:val="00EA1D7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13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56D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295</cp:revision>
  <dcterms:created xsi:type="dcterms:W3CDTF">2019-10-16T10:03:00Z</dcterms:created>
  <dcterms:modified xsi:type="dcterms:W3CDTF">2020-05-28T08:08:00Z</dcterms:modified>
</cp:coreProperties>
</file>